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Restroom Opening Readiness</w:t>
      </w:r>
    </w:p>
    <w:p>
      <w:pPr>
        <w:pStyle w:val="Subtitle"/>
      </w:pPr>
      <w:r>
        <w:t>A task-specific cleaning checklist using the site’s approved method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3168"/>
        <w:gridCol w:w="3168"/>
      </w:tblGrid>
      <w:tr>
        <w:trPr>
          <w:cantSplit/>
          <w:tblHeader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Location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Date and shift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Responsible person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[Area]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[Date / shift]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1584"/>
        <w:gridCol w:w="1008"/>
        <w:gridCol w:w="3024"/>
      </w:tblGrid>
      <w:tr>
        <w:trPr>
          <w:cantSplit/>
          <w:tblHeader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Done and time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Initials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Exception or follow up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Check access and report damage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Remove litter and empty bins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Clean toilet contact surfaces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Clean basins and taps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Clean mirrors and touchpoints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Check and replenish soap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Replenish toilet paper and towels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Clean floors and place signs as needed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Check fixtures and final presentation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Stock or maintenance action needed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  <w:tblHeader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Completed by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76E73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Verified or handed over to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time]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[Name / time]</w:t>
            </w:r>
          </w:p>
        </w:tc>
      </w:tr>
    </w:tbl>
    <w:p/>
    <w:p>
      <w:r>
        <w:t>Use the products, protective equipment and procedures approved for the site. Keep unfinished work visible in the handover.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restroom-opening-readiness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